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附件2              </w:t>
      </w:r>
    </w:p>
    <w:p>
      <w:pPr>
        <w:ind w:firstLine="3360" w:firstLineChars="1400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监测单位检查评分表(公司)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8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6918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检查项目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2193" w:right="218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检查内容及评分标准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pacing w:val="-8"/>
                <w:szCs w:val="21"/>
                <w:lang w:val="en-US"/>
              </w:rPr>
              <w:t>9</w:t>
            </w:r>
            <w:r>
              <w:rPr>
                <w:rFonts w:hint="eastAsia"/>
                <w:bCs/>
                <w:spacing w:val="-8"/>
                <w:szCs w:val="21"/>
              </w:rPr>
              <w:t>、资质</w:t>
            </w:r>
            <w:r>
              <w:rPr>
                <w:rFonts w:hint="eastAsia"/>
                <w:bCs/>
                <w:szCs w:val="21"/>
              </w:rPr>
              <w:t>与</w:t>
            </w:r>
            <w:r>
              <w:rPr>
                <w:rFonts w:hint="eastAsia"/>
                <w:bCs/>
                <w:spacing w:val="-8"/>
                <w:szCs w:val="21"/>
              </w:rPr>
              <w:t>资格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  <w:lang w:val="en-US"/>
              </w:rPr>
              <w:t>30分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  <w:lang w:val="en-US"/>
              </w:rPr>
              <w:t>9</w:t>
            </w:r>
            <w:r>
              <w:rPr>
                <w:rFonts w:hint="eastAsia"/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是否具有相应的资质承揽业务。</w:t>
            </w:r>
          </w:p>
          <w:p>
            <w:pPr>
              <w:pStyle w:val="5"/>
              <w:ind w:left="107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（住建部令2018年37号第二十条、</w:t>
            </w:r>
            <w:r>
              <w:rPr>
                <w:rFonts w:hint="eastAsia"/>
                <w:bCs/>
                <w:i/>
                <w:szCs w:val="21"/>
                <w:lang w:val="en-US"/>
              </w:rPr>
              <w:t>苏建质安[2019]378号第二十九条</w:t>
            </w:r>
            <w:r>
              <w:rPr>
                <w:rFonts w:hint="eastAsia"/>
                <w:bCs/>
                <w:i/>
                <w:szCs w:val="21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9</w:t>
            </w:r>
            <w:r>
              <w:rPr>
                <w:rFonts w:hint="eastAsia"/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检验检测资质认定证书参数有无覆盖能力范围及场所。</w:t>
            </w:r>
          </w:p>
          <w:p>
            <w:pPr>
              <w:pStyle w:val="5"/>
              <w:ind w:left="107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（宁建监字 18 号文）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9</w:t>
            </w:r>
            <w:r>
              <w:rPr>
                <w:rFonts w:hint="eastAsia"/>
                <w:bCs/>
                <w:szCs w:val="21"/>
              </w:rPr>
              <w:t>.3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有无超出检测能力、检验检测资质认定证书参数范围。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10</w:t>
            </w:r>
            <w:r>
              <w:rPr>
                <w:rFonts w:hint="eastAsia"/>
                <w:bCs/>
                <w:szCs w:val="21"/>
              </w:rPr>
              <w:t>、监测人员（</w:t>
            </w:r>
            <w:r>
              <w:rPr>
                <w:rFonts w:hint="eastAsia"/>
                <w:bCs/>
                <w:szCs w:val="21"/>
                <w:lang w:val="en-US"/>
              </w:rPr>
              <w:t>25分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10</w:t>
            </w:r>
            <w:r>
              <w:rPr>
                <w:rFonts w:hint="eastAsia"/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监测专业人员数量、职称是否满足相关要求</w:t>
            </w:r>
            <w:r>
              <w:rPr>
                <w:rFonts w:hint="eastAsia"/>
                <w:bCs/>
                <w:szCs w:val="21"/>
                <w:lang w:val="en-US"/>
              </w:rPr>
              <w:t>。</w:t>
            </w:r>
          </w:p>
          <w:p>
            <w:pPr>
              <w:pStyle w:val="5"/>
              <w:ind w:left="107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（宁建监字 〔2011〕18 号文）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10</w:t>
            </w:r>
            <w:r>
              <w:rPr>
                <w:rFonts w:hint="eastAsia"/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监测专业技术人员是否持证上岗。</w:t>
            </w:r>
          </w:p>
          <w:p>
            <w:pPr>
              <w:pStyle w:val="5"/>
              <w:ind w:left="107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（宁建监字 〔2011〕18 号文）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10</w:t>
            </w:r>
            <w:r>
              <w:rPr>
                <w:rFonts w:hint="eastAsia"/>
                <w:bCs/>
                <w:szCs w:val="21"/>
              </w:rPr>
              <w:t>.3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监测专业技术人员是否经企业质量技术安全培训。</w:t>
            </w:r>
          </w:p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（未涉及管线、</w:t>
            </w:r>
            <w:r>
              <w:rPr>
                <w:rFonts w:hint="eastAsia"/>
                <w:bCs/>
                <w:szCs w:val="21"/>
                <w:lang w:val="en-US"/>
              </w:rPr>
              <w:t>个体防护装备</w:t>
            </w:r>
            <w:r>
              <w:rPr>
                <w:rFonts w:hint="eastAsia"/>
                <w:bCs/>
                <w:szCs w:val="21"/>
              </w:rPr>
              <w:t>、文明施工等每项扣减2分）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11</w:t>
            </w:r>
            <w:r>
              <w:rPr>
                <w:rFonts w:hint="eastAsia"/>
                <w:bCs/>
                <w:szCs w:val="21"/>
              </w:rPr>
              <w:t>、管理制度（</w:t>
            </w:r>
            <w:r>
              <w:rPr>
                <w:rFonts w:hint="eastAsia"/>
                <w:bCs/>
                <w:szCs w:val="21"/>
                <w:lang w:val="en-US"/>
              </w:rPr>
              <w:t>10分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11</w:t>
            </w:r>
            <w:r>
              <w:rPr>
                <w:rFonts w:hint="eastAsia"/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是否</w:t>
            </w:r>
            <w:r>
              <w:rPr>
                <w:rFonts w:hint="eastAsia"/>
                <w:bCs/>
                <w:szCs w:val="21"/>
                <w:lang w:val="en-US"/>
              </w:rPr>
              <w:t>有效</w:t>
            </w:r>
            <w:r>
              <w:rPr>
                <w:rFonts w:hint="eastAsia"/>
                <w:bCs/>
                <w:szCs w:val="21"/>
              </w:rPr>
              <w:t>建立、落实</w:t>
            </w:r>
            <w:r>
              <w:rPr>
                <w:rFonts w:hint="eastAsia"/>
                <w:bCs/>
                <w:szCs w:val="21"/>
                <w:lang w:val="en-US"/>
              </w:rPr>
              <w:t>管理体系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pStyle w:val="5"/>
              <w:ind w:left="107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（</w:t>
            </w:r>
            <w:r>
              <w:rPr>
                <w:rFonts w:hint="eastAsia"/>
                <w:bCs/>
                <w:i/>
                <w:szCs w:val="21"/>
                <w:lang w:val="en-US"/>
              </w:rPr>
              <w:t>体系文件、作业指导书</w:t>
            </w:r>
            <w:r>
              <w:rPr>
                <w:rFonts w:hint="eastAsia"/>
                <w:bCs/>
                <w:i/>
                <w:szCs w:val="21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jc w:val="left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spacing w:val="-4"/>
                <w:szCs w:val="21"/>
                <w:lang w:val="en-US"/>
              </w:rPr>
              <w:t>11</w:t>
            </w:r>
            <w:r>
              <w:rPr>
                <w:rFonts w:hint="eastAsia"/>
                <w:bCs/>
                <w:spacing w:val="-4"/>
                <w:szCs w:val="21"/>
              </w:rPr>
              <w:t>.2</w:t>
            </w:r>
            <w:r>
              <w:rPr>
                <w:rFonts w:hint="eastAsia"/>
                <w:bCs/>
                <w:spacing w:val="-4"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pacing w:val="-4"/>
                <w:szCs w:val="21"/>
              </w:rPr>
              <w:t>是否建立或落实监测质量技术安全责任制度和相应考核、奖惩制度</w:t>
            </w:r>
            <w:r>
              <w:rPr>
                <w:rFonts w:hint="eastAsia"/>
                <w:bCs/>
                <w:spacing w:val="-4"/>
                <w:szCs w:val="21"/>
                <w:lang w:val="en-US"/>
              </w:rPr>
              <w:t>。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12</w:t>
            </w:r>
            <w:r>
              <w:rPr>
                <w:rFonts w:hint="eastAsia"/>
                <w:bCs/>
                <w:szCs w:val="21"/>
              </w:rPr>
              <w:t>、监测仪器（</w:t>
            </w:r>
            <w:r>
              <w:rPr>
                <w:rFonts w:hint="eastAsia"/>
                <w:bCs/>
                <w:szCs w:val="21"/>
                <w:lang w:val="en-US"/>
              </w:rPr>
              <w:t>20分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ind w:left="107"/>
              <w:jc w:val="left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12</w:t>
            </w:r>
            <w:r>
              <w:rPr>
                <w:rFonts w:hint="eastAsia"/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监测仪器设备的类型、精度及数量是否满足监测工程的实际需要，</w:t>
            </w:r>
            <w:r>
              <w:rPr>
                <w:rFonts w:hint="eastAsia"/>
                <w:bCs/>
                <w:szCs w:val="21"/>
                <w:lang w:val="en-US"/>
              </w:rPr>
              <w:t>与</w:t>
            </w:r>
            <w:r>
              <w:rPr>
                <w:rFonts w:hint="eastAsia"/>
                <w:bCs/>
                <w:szCs w:val="21"/>
              </w:rPr>
              <w:t>检测参数</w:t>
            </w:r>
            <w:r>
              <w:rPr>
                <w:rFonts w:hint="eastAsia"/>
                <w:bCs/>
                <w:szCs w:val="21"/>
                <w:lang w:val="en-US"/>
              </w:rPr>
              <w:t>是否匹配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i/>
                <w:szCs w:val="21"/>
              </w:rPr>
              <w:t xml:space="preserve">（宁建监字 </w:t>
            </w:r>
            <w:r>
              <w:rPr>
                <w:rFonts w:hint="eastAsia"/>
                <w:bCs/>
                <w:i/>
                <w:szCs w:val="21"/>
                <w:lang w:val="en-US"/>
              </w:rPr>
              <w:t>[2011]</w:t>
            </w:r>
            <w:r>
              <w:rPr>
                <w:rFonts w:hint="eastAsia"/>
                <w:bCs/>
                <w:i/>
                <w:szCs w:val="21"/>
              </w:rPr>
              <w:t>18 号文）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spacing w:before="39"/>
              <w:ind w:left="107"/>
              <w:jc w:val="left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12</w:t>
            </w:r>
            <w:r>
              <w:rPr>
                <w:rFonts w:hint="eastAsia"/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监测仪器是否在检定有效期内，各类测试元器件无合 格证、标定证书。</w:t>
            </w:r>
            <w:r>
              <w:rPr>
                <w:rFonts w:hint="eastAsia"/>
                <w:bCs/>
                <w:i/>
                <w:szCs w:val="21"/>
              </w:rPr>
              <w:t>（GB50497-6.1.3）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spacing w:before="36"/>
              <w:ind w:left="107"/>
              <w:jc w:val="left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12</w:t>
            </w:r>
            <w:r>
              <w:rPr>
                <w:rFonts w:hint="eastAsia"/>
                <w:bCs/>
                <w:szCs w:val="21"/>
              </w:rPr>
              <w:t>.3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是否建立监测仪器管理台账，</w:t>
            </w:r>
            <w:r>
              <w:rPr>
                <w:rFonts w:hint="eastAsia"/>
                <w:bCs/>
                <w:szCs w:val="21"/>
                <w:lang w:val="en-US"/>
              </w:rPr>
              <w:t>记录相关维护、保养情况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i/>
                <w:szCs w:val="21"/>
              </w:rPr>
              <w:t>（GB50497-6.1.3）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spacing w:before="36"/>
              <w:ind w:left="107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12</w:t>
            </w:r>
            <w:r>
              <w:rPr>
                <w:rFonts w:hint="eastAsia"/>
                <w:bCs/>
                <w:szCs w:val="21"/>
              </w:rPr>
              <w:t>.4</w:t>
            </w:r>
            <w:r>
              <w:rPr>
                <w:rFonts w:hint="eastAsia"/>
                <w:bCs/>
                <w:szCs w:val="21"/>
                <w:lang w:val="en-US"/>
              </w:rPr>
              <w:t xml:space="preserve"> 仪器运行检查（水准仪i角检查），期间核查是否按规定进行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13</w:t>
            </w:r>
            <w:r>
              <w:rPr>
                <w:rFonts w:hint="eastAsia"/>
                <w:bCs/>
                <w:szCs w:val="21"/>
              </w:rPr>
              <w:t>、监测资料归档管理（</w:t>
            </w:r>
            <w:r>
              <w:rPr>
                <w:rFonts w:hint="eastAsia"/>
                <w:bCs/>
                <w:szCs w:val="21"/>
                <w:lang w:val="en-US"/>
              </w:rPr>
              <w:t>15分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pStyle w:val="5"/>
              <w:spacing w:before="36"/>
              <w:ind w:left="107"/>
              <w:jc w:val="left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13</w:t>
            </w:r>
            <w:r>
              <w:rPr>
                <w:rFonts w:hint="eastAsia"/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  <w:lang w:val="en-US"/>
              </w:rPr>
              <w:t xml:space="preserve"> 有无制定</w:t>
            </w:r>
            <w:r>
              <w:rPr>
                <w:rFonts w:hint="eastAsia"/>
                <w:bCs/>
                <w:szCs w:val="21"/>
              </w:rPr>
              <w:t>监测资料档案管理</w:t>
            </w:r>
            <w:r>
              <w:rPr>
                <w:rFonts w:hint="eastAsia"/>
                <w:bCs/>
                <w:szCs w:val="21"/>
                <w:lang w:val="en-US"/>
              </w:rPr>
              <w:t>制度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i/>
                <w:szCs w:val="21"/>
              </w:rPr>
              <w:t>（GB50497-条文说明 3.0.3）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87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5680"/>
              </w:tabs>
              <w:ind w:left="107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13</w:t>
            </w:r>
            <w:r>
              <w:rPr>
                <w:rFonts w:hint="eastAsia"/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原始数据文件、巡查信息、成果报告等监测资料归档</w:t>
            </w:r>
            <w:r>
              <w:rPr>
                <w:rFonts w:hint="eastAsia"/>
                <w:bCs/>
                <w:szCs w:val="21"/>
                <w:lang w:val="en-US"/>
              </w:rPr>
              <w:t>是否齐全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  <w:lang w:val="en-US"/>
              </w:rPr>
              <w:t>有</w:t>
            </w:r>
            <w:r>
              <w:rPr>
                <w:rFonts w:hint="eastAsia"/>
                <w:bCs/>
                <w:szCs w:val="21"/>
              </w:rPr>
              <w:t>无统一编号，管理</w:t>
            </w:r>
            <w:r>
              <w:rPr>
                <w:rFonts w:hint="eastAsia"/>
                <w:bCs/>
                <w:szCs w:val="21"/>
                <w:lang w:val="en-US"/>
              </w:rPr>
              <w:t>是否</w:t>
            </w:r>
            <w:r>
              <w:rPr>
                <w:rFonts w:hint="eastAsia"/>
                <w:bCs/>
                <w:szCs w:val="21"/>
              </w:rPr>
              <w:t>规范。（GB50497-3.0.16）</w:t>
            </w:r>
          </w:p>
        </w:tc>
        <w:tc>
          <w:tcPr>
            <w:tcW w:w="81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6"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合计得分</w:t>
            </w:r>
          </w:p>
        </w:tc>
        <w:tc>
          <w:tcPr>
            <w:tcW w:w="6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（满分分数-合计扣减分数）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07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rPr>
          <w:bCs/>
        </w:rPr>
      </w:pPr>
      <w:r>
        <w:rPr>
          <w:rFonts w:hint="eastAsia"/>
          <w:bCs/>
        </w:rPr>
        <w:t>说明：1、检查评分表满分100 分，合计得分=满分分数-合计扣除分数；出现黑体字标志的情形之一时，直接判定为不合格（扣42分）。</w:t>
      </w:r>
    </w:p>
    <w:p>
      <w:r>
        <w:rPr>
          <w:rFonts w:hint="eastAsia"/>
          <w:bCs/>
        </w:rPr>
        <w:t>2、检查内容参考中华人民共和国住房和城乡建设部令第 37 号、江苏省住房和城乡建设厅苏建质安[2019]378号文、《南京地区建筑基坑工程监测技术规程》DGJ32/J 189-2015 、《建筑基坑工程监测技术标准》GB50497-2019。</w:t>
      </w: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461AD"/>
    <w:rsid w:val="26D55607"/>
    <w:rsid w:val="3B5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2022-01-25T02:40:00Z</dcterms:created>
  <dc:creator>蒋贻盛（高淳区阳江镇农业农村科）</dc:creator>
  <cp:lastModifiedBy>蒋贻盛（高淳区阳江镇农业农村科）</cp:lastModifiedBy>
  <dcterms:modified xsi:type="dcterms:W3CDTF">2022-01-25T02:41:30Z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9B4C10DBA0AE4816B0BB5300F645B0C1</vt:lpwstr>
  </property>
</Properties>
</file>